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A78" w:rsidRDefault="00B96A78">
      <w:pPr>
        <w:rPr>
          <w:rFonts w:ascii="Geneva" w:hAnsi="Geneva"/>
          <w:sz w:val="20"/>
        </w:rPr>
      </w:pPr>
      <w:r>
        <w:rPr>
          <w:rFonts w:ascii="Geneva" w:hAnsi="Geneva"/>
          <w:sz w:val="20"/>
        </w:rPr>
        <w:t>Name: ___________________________</w:t>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t>Date: ____________</w:t>
      </w:r>
    </w:p>
    <w:p w:rsidR="00B96A78" w:rsidRDefault="00B96A78">
      <w:pPr>
        <w:rPr>
          <w:rFonts w:ascii="Geneva" w:hAnsi="Geneva"/>
          <w:sz w:val="20"/>
        </w:rPr>
      </w:pPr>
      <w:r>
        <w:rPr>
          <w:rFonts w:ascii="Geneva" w:hAnsi="Geneva"/>
          <w:sz w:val="20"/>
        </w:rPr>
        <w:t>AP World History; Ms. Hulme</w:t>
      </w:r>
    </w:p>
    <w:p w:rsidR="00B96A78" w:rsidRDefault="00535D19" w:rsidP="00B96A78">
      <w:pPr>
        <w:jc w:val="center"/>
        <w:rPr>
          <w:rFonts w:ascii="Geneva" w:hAnsi="Geneva"/>
          <w:b/>
          <w:sz w:val="20"/>
        </w:rPr>
      </w:pPr>
      <w:r>
        <w:rPr>
          <w:rFonts w:ascii="Geneva" w:hAnsi="Geneva"/>
          <w:b/>
          <w:sz w:val="20"/>
        </w:rPr>
        <w:t>Trench Warfare Primary Sources</w:t>
      </w:r>
    </w:p>
    <w:p w:rsidR="00B96A78" w:rsidRDefault="00B96A78" w:rsidP="00B96A78">
      <w:pPr>
        <w:rPr>
          <w:rFonts w:ascii="Geneva" w:hAnsi="Geneva"/>
          <w:b/>
          <w:sz w:val="20"/>
        </w:rPr>
      </w:pPr>
    </w:p>
    <w:p w:rsidR="00B96A78" w:rsidRDefault="00B96A78" w:rsidP="00B96A78">
      <w:pPr>
        <w:rPr>
          <w:rFonts w:ascii="Geneva" w:hAnsi="Geneva"/>
          <w:i/>
          <w:sz w:val="20"/>
        </w:rPr>
      </w:pPr>
      <w:r>
        <w:rPr>
          <w:rFonts w:ascii="Geneva" w:hAnsi="Geneva"/>
          <w:b/>
          <w:i/>
          <w:sz w:val="20"/>
          <w:u w:val="single"/>
        </w:rPr>
        <w:t>Directions</w:t>
      </w:r>
      <w:r>
        <w:rPr>
          <w:rFonts w:ascii="Geneva" w:hAnsi="Geneva"/>
          <w:b/>
          <w:sz w:val="20"/>
        </w:rPr>
        <w:t xml:space="preserve">:  </w:t>
      </w:r>
      <w:r>
        <w:rPr>
          <w:rFonts w:ascii="Geneva" w:hAnsi="Geneva"/>
          <w:i/>
          <w:sz w:val="20"/>
        </w:rPr>
        <w:t>Complete the chart below based on the primary source documents:</w:t>
      </w:r>
    </w:p>
    <w:p w:rsidR="00B96A78" w:rsidRDefault="00B96A78" w:rsidP="00B96A78">
      <w:pPr>
        <w:rPr>
          <w:rFonts w:ascii="Geneva" w:hAnsi="Geneva"/>
          <w:sz w:val="20"/>
        </w:rPr>
      </w:pPr>
    </w:p>
    <w:tbl>
      <w:tblPr>
        <w:tblStyle w:val="TableGrid"/>
        <w:tblW w:w="0" w:type="auto"/>
        <w:tblLook w:val="00BF"/>
      </w:tblPr>
      <w:tblGrid>
        <w:gridCol w:w="4788"/>
        <w:gridCol w:w="4572"/>
        <w:gridCol w:w="4680"/>
      </w:tblGrid>
      <w:tr w:rsidR="00B96A78">
        <w:tc>
          <w:tcPr>
            <w:tcW w:w="4788" w:type="dxa"/>
            <w:shd w:val="pct20" w:color="auto" w:fill="auto"/>
          </w:tcPr>
          <w:p w:rsidR="00B96A78" w:rsidRPr="00B96A78" w:rsidRDefault="00B96A78" w:rsidP="00B96A78">
            <w:pPr>
              <w:jc w:val="center"/>
              <w:rPr>
                <w:rFonts w:ascii="Geneva" w:hAnsi="Geneva"/>
                <w:b/>
                <w:sz w:val="20"/>
              </w:rPr>
            </w:pPr>
            <w:r>
              <w:rPr>
                <w:rFonts w:ascii="Geneva" w:hAnsi="Geneva"/>
                <w:b/>
                <w:sz w:val="20"/>
              </w:rPr>
              <w:t>Source Excerpt</w:t>
            </w:r>
          </w:p>
        </w:tc>
        <w:tc>
          <w:tcPr>
            <w:tcW w:w="4572" w:type="dxa"/>
            <w:shd w:val="pct20" w:color="auto" w:fill="auto"/>
          </w:tcPr>
          <w:p w:rsidR="00B96A78" w:rsidRPr="00B96A78" w:rsidRDefault="00B96A78" w:rsidP="00B96A78">
            <w:pPr>
              <w:jc w:val="center"/>
              <w:rPr>
                <w:rFonts w:ascii="Geneva" w:hAnsi="Geneva"/>
                <w:b/>
                <w:sz w:val="20"/>
              </w:rPr>
            </w:pPr>
            <w:r>
              <w:rPr>
                <w:rFonts w:ascii="Geneva" w:hAnsi="Geneva"/>
                <w:b/>
                <w:sz w:val="20"/>
              </w:rPr>
              <w:t>Summarize in 2+ Sentences</w:t>
            </w:r>
          </w:p>
        </w:tc>
        <w:tc>
          <w:tcPr>
            <w:tcW w:w="4680" w:type="dxa"/>
            <w:shd w:val="pct20" w:color="auto" w:fill="auto"/>
          </w:tcPr>
          <w:p w:rsidR="00B96A78" w:rsidRPr="00B96A78" w:rsidRDefault="008A66AD" w:rsidP="00535D19">
            <w:pPr>
              <w:jc w:val="center"/>
              <w:rPr>
                <w:rFonts w:ascii="Geneva" w:hAnsi="Geneva"/>
                <w:b/>
                <w:sz w:val="20"/>
              </w:rPr>
            </w:pPr>
            <w:r>
              <w:rPr>
                <w:rFonts w:ascii="Geneva" w:hAnsi="Geneva"/>
                <w:b/>
                <w:sz w:val="20"/>
              </w:rPr>
              <w:t xml:space="preserve">What does this tell you about </w:t>
            </w:r>
            <w:r w:rsidR="00535D19">
              <w:rPr>
                <w:rFonts w:ascii="Geneva" w:hAnsi="Geneva"/>
                <w:b/>
                <w:sz w:val="20"/>
              </w:rPr>
              <w:t>trench warfare?</w:t>
            </w:r>
          </w:p>
        </w:tc>
      </w:tr>
      <w:tr w:rsidR="00B96A78">
        <w:tc>
          <w:tcPr>
            <w:tcW w:w="4788" w:type="dxa"/>
          </w:tcPr>
          <w:p w:rsidR="00B96A78" w:rsidRPr="00535D19" w:rsidRDefault="00B96A78" w:rsidP="00B96A78">
            <w:pPr>
              <w:rPr>
                <w:rFonts w:ascii="Geneva" w:hAnsi="Geneva"/>
                <w:i/>
                <w:sz w:val="18"/>
              </w:rPr>
            </w:pPr>
          </w:p>
          <w:p w:rsidR="00535D19" w:rsidRPr="00535D19" w:rsidRDefault="00535D19" w:rsidP="00535D19">
            <w:pPr>
              <w:rPr>
                <w:rFonts w:ascii="Geneva" w:hAnsi="Geneva"/>
                <w:sz w:val="18"/>
                <w:szCs w:val="20"/>
              </w:rPr>
            </w:pPr>
            <w:r w:rsidRPr="00535D19">
              <w:rPr>
                <w:rFonts w:ascii="Geneva" w:hAnsi="Geneva"/>
                <w:sz w:val="18"/>
                <w:szCs w:val="20"/>
              </w:rPr>
              <w:t xml:space="preserve">"We must </w:t>
            </w:r>
            <w:proofErr w:type="gramStart"/>
            <w:r w:rsidRPr="00535D19">
              <w:rPr>
                <w:rFonts w:ascii="Geneva" w:hAnsi="Geneva"/>
                <w:sz w:val="18"/>
                <w:szCs w:val="20"/>
              </w:rPr>
              <w:t>looked</w:t>
            </w:r>
            <w:proofErr w:type="gramEnd"/>
            <w:r w:rsidRPr="00535D19">
              <w:rPr>
                <w:rFonts w:ascii="Geneva" w:hAnsi="Geneva"/>
                <w:sz w:val="18"/>
                <w:szCs w:val="20"/>
              </w:rPr>
              <w:t xml:space="preserve"> out for our bread. The rats have become much more numerous lately because the trenches are no longer in good condition. The rats here are particularly repulsive, they are so fat - the kind we call corpse-rats. They have shocking, evil, naked faces, and it is nauseating to see their long, nude tails." </w:t>
            </w:r>
          </w:p>
          <w:p w:rsidR="00535D19" w:rsidRPr="00535D19" w:rsidRDefault="00535D19" w:rsidP="00535D19">
            <w:pPr>
              <w:spacing w:beforeLines="1" w:afterLines="1"/>
              <w:rPr>
                <w:rFonts w:ascii="Geneva" w:hAnsi="Geneva" w:cs="Times New Roman"/>
                <w:sz w:val="18"/>
                <w:szCs w:val="20"/>
              </w:rPr>
            </w:pPr>
            <w:r w:rsidRPr="00535D19">
              <w:rPr>
                <w:rFonts w:ascii="Geneva" w:hAnsi="Geneva" w:cs="Times New Roman"/>
                <w:sz w:val="18"/>
                <w:szCs w:val="20"/>
              </w:rPr>
              <w:t>Erich Maria Remarque</w:t>
            </w:r>
          </w:p>
          <w:p w:rsidR="00B96A78" w:rsidRPr="00535D19" w:rsidRDefault="00B96A78" w:rsidP="00B96A78">
            <w:pPr>
              <w:rPr>
                <w:rFonts w:ascii="Geneva" w:hAnsi="Geneva"/>
                <w:sz w:val="18"/>
              </w:rPr>
            </w:pPr>
          </w:p>
        </w:tc>
        <w:tc>
          <w:tcPr>
            <w:tcW w:w="4572" w:type="dxa"/>
          </w:tcPr>
          <w:p w:rsidR="00B96A78" w:rsidRDefault="00B96A78" w:rsidP="00B96A78">
            <w:pPr>
              <w:rPr>
                <w:rFonts w:ascii="Geneva" w:hAnsi="Geneva"/>
                <w:sz w:val="20"/>
              </w:rPr>
            </w:pPr>
          </w:p>
        </w:tc>
        <w:tc>
          <w:tcPr>
            <w:tcW w:w="4680" w:type="dxa"/>
          </w:tcPr>
          <w:p w:rsidR="00B96A78" w:rsidRDefault="00B96A78" w:rsidP="00B96A78">
            <w:pPr>
              <w:rPr>
                <w:rFonts w:ascii="Geneva" w:hAnsi="Geneva"/>
                <w:sz w:val="20"/>
              </w:rPr>
            </w:pPr>
          </w:p>
        </w:tc>
      </w:tr>
      <w:tr w:rsidR="00B96A78">
        <w:tc>
          <w:tcPr>
            <w:tcW w:w="4788" w:type="dxa"/>
          </w:tcPr>
          <w:p w:rsidR="008A66AD" w:rsidRPr="00535D19" w:rsidRDefault="008A66AD" w:rsidP="008A66AD">
            <w:pPr>
              <w:rPr>
                <w:rFonts w:ascii="Geneva" w:hAnsi="Geneva"/>
                <w:i/>
                <w:sz w:val="18"/>
              </w:rPr>
            </w:pPr>
          </w:p>
          <w:p w:rsidR="00B96A78" w:rsidRPr="00535D19" w:rsidRDefault="00535D19" w:rsidP="008A66AD">
            <w:pPr>
              <w:rPr>
                <w:rFonts w:ascii="Geneva" w:hAnsi="Geneva"/>
                <w:i/>
                <w:sz w:val="18"/>
              </w:rPr>
            </w:pPr>
            <w:r w:rsidRPr="00535D19">
              <w:rPr>
                <w:rFonts w:ascii="Geneva" w:hAnsi="Geneva"/>
                <w:sz w:val="18"/>
              </w:rPr>
              <w:t xml:space="preserve">“No </w:t>
            </w:r>
            <w:proofErr w:type="gramStart"/>
            <w:r w:rsidRPr="00535D19">
              <w:rPr>
                <w:rFonts w:ascii="Geneva" w:hAnsi="Geneva"/>
                <w:sz w:val="18"/>
              </w:rPr>
              <w:t>1……2</w:t>
            </w:r>
            <w:proofErr w:type="gramEnd"/>
            <w:r w:rsidRPr="00535D19">
              <w:rPr>
                <w:rFonts w:ascii="Geneva" w:hAnsi="Geneva"/>
                <w:sz w:val="18"/>
              </w:rPr>
              <w:t xml:space="preserve"> Private A B; the Battalion (Pioneers) South Staffordshire Regiment was tried by FGCM on the following charges: “Misbehaving in such a manner as to show cowardice”. The accused, when proceeding with a party for work in the trenches, ran away owing to the bursting of a shell and did not rejoin the party. The sentence of the court was to suffer death by being shot."</w:t>
            </w:r>
          </w:p>
        </w:tc>
        <w:tc>
          <w:tcPr>
            <w:tcW w:w="4572" w:type="dxa"/>
          </w:tcPr>
          <w:p w:rsidR="00B96A78" w:rsidRDefault="00B96A78" w:rsidP="00B96A78">
            <w:pPr>
              <w:rPr>
                <w:rFonts w:ascii="Geneva" w:hAnsi="Geneva"/>
                <w:sz w:val="20"/>
              </w:rPr>
            </w:pPr>
          </w:p>
        </w:tc>
        <w:tc>
          <w:tcPr>
            <w:tcW w:w="4680" w:type="dxa"/>
          </w:tcPr>
          <w:p w:rsidR="00B96A78" w:rsidRDefault="00B96A78" w:rsidP="00B96A78">
            <w:pPr>
              <w:rPr>
                <w:rFonts w:ascii="Geneva" w:hAnsi="Geneva"/>
                <w:sz w:val="20"/>
              </w:rPr>
            </w:pPr>
          </w:p>
        </w:tc>
      </w:tr>
      <w:tr w:rsidR="00535D19">
        <w:tc>
          <w:tcPr>
            <w:tcW w:w="4788" w:type="dxa"/>
          </w:tcPr>
          <w:p w:rsidR="00535D19" w:rsidRDefault="00535D19" w:rsidP="00535D19">
            <w:pPr>
              <w:rPr>
                <w:rFonts w:ascii="Geneva" w:hAnsi="Geneva"/>
                <w:sz w:val="18"/>
                <w:szCs w:val="20"/>
              </w:rPr>
            </w:pPr>
          </w:p>
          <w:p w:rsidR="00535D19" w:rsidRPr="00535D19" w:rsidRDefault="00535D19" w:rsidP="00535D19">
            <w:pPr>
              <w:rPr>
                <w:rFonts w:ascii="Geneva" w:hAnsi="Geneva"/>
                <w:sz w:val="18"/>
                <w:szCs w:val="20"/>
              </w:rPr>
            </w:pPr>
            <w:r w:rsidRPr="00535D19">
              <w:rPr>
                <w:rFonts w:ascii="Geneva" w:hAnsi="Geneva"/>
                <w:sz w:val="18"/>
                <w:szCs w:val="20"/>
              </w:rPr>
              <w:t xml:space="preserve">“To get a ‘cushy’ one is all the old hands think about. A bloke in the </w:t>
            </w:r>
            <w:proofErr w:type="spellStart"/>
            <w:r w:rsidRPr="00535D19">
              <w:rPr>
                <w:rFonts w:ascii="Geneva" w:hAnsi="Geneva"/>
                <w:sz w:val="18"/>
                <w:szCs w:val="20"/>
              </w:rPr>
              <w:t>Camerons</w:t>
            </w:r>
            <w:proofErr w:type="spellEnd"/>
            <w:r w:rsidRPr="00535D19">
              <w:rPr>
                <w:rFonts w:ascii="Geneva" w:hAnsi="Geneva"/>
                <w:sz w:val="18"/>
                <w:szCs w:val="20"/>
              </w:rPr>
              <w:t xml:space="preserve"> wanted a ‘cushy’ bad! Fed up and far from home he was. He puts his finger over the top and gets his trigger finger taken off and two more besides. “I’m off to bonny Scotland!” he says laughing. But on the way down to the dressing station, he forgets to stoop low where an old sniper is working. He gets it through the head.”  </w:t>
            </w:r>
          </w:p>
          <w:p w:rsidR="00535D19" w:rsidRPr="00535D19" w:rsidRDefault="00535D19" w:rsidP="00535D19">
            <w:pPr>
              <w:spacing w:beforeLines="1" w:afterLines="1"/>
              <w:rPr>
                <w:rFonts w:ascii="Geneva" w:hAnsi="Geneva" w:cs="Times New Roman"/>
                <w:sz w:val="18"/>
                <w:szCs w:val="20"/>
              </w:rPr>
            </w:pPr>
            <w:r w:rsidRPr="00535D19">
              <w:rPr>
                <w:rFonts w:ascii="Geneva" w:hAnsi="Geneva" w:cs="Times New Roman"/>
                <w:sz w:val="18"/>
                <w:szCs w:val="20"/>
              </w:rPr>
              <w:t>(Robert Graves)</w:t>
            </w:r>
          </w:p>
          <w:p w:rsidR="00535D19" w:rsidRPr="00535D19" w:rsidRDefault="00535D19" w:rsidP="008A66AD">
            <w:pPr>
              <w:rPr>
                <w:rFonts w:ascii="Geneva" w:hAnsi="Geneva"/>
                <w:i/>
                <w:sz w:val="18"/>
              </w:rPr>
            </w:pPr>
          </w:p>
        </w:tc>
        <w:tc>
          <w:tcPr>
            <w:tcW w:w="4572" w:type="dxa"/>
          </w:tcPr>
          <w:p w:rsidR="00535D19" w:rsidRDefault="00535D19" w:rsidP="00B96A78">
            <w:pPr>
              <w:rPr>
                <w:rFonts w:ascii="Geneva" w:hAnsi="Geneva"/>
                <w:sz w:val="20"/>
              </w:rPr>
            </w:pPr>
          </w:p>
        </w:tc>
        <w:tc>
          <w:tcPr>
            <w:tcW w:w="4680" w:type="dxa"/>
          </w:tcPr>
          <w:p w:rsidR="00535D19" w:rsidRDefault="00535D19" w:rsidP="00B96A78">
            <w:pPr>
              <w:rPr>
                <w:rFonts w:ascii="Geneva" w:hAnsi="Geneva"/>
                <w:sz w:val="20"/>
              </w:rPr>
            </w:pPr>
          </w:p>
        </w:tc>
      </w:tr>
    </w:tbl>
    <w:p w:rsidR="00B96A78" w:rsidRDefault="00B96A78" w:rsidP="00B96A78">
      <w:pPr>
        <w:rPr>
          <w:rFonts w:ascii="Geneva" w:hAnsi="Geneva"/>
          <w:sz w:val="20"/>
        </w:rPr>
      </w:pPr>
    </w:p>
    <w:p w:rsidR="00B96A78" w:rsidRDefault="00B96A78" w:rsidP="00B96A78">
      <w:pPr>
        <w:rPr>
          <w:rFonts w:ascii="Geneva" w:hAnsi="Geneva"/>
          <w:sz w:val="20"/>
        </w:rPr>
      </w:pPr>
    </w:p>
    <w:tbl>
      <w:tblPr>
        <w:tblStyle w:val="TableGrid"/>
        <w:tblW w:w="0" w:type="auto"/>
        <w:tblLook w:val="00BF"/>
      </w:tblPr>
      <w:tblGrid>
        <w:gridCol w:w="4680"/>
        <w:gridCol w:w="4680"/>
        <w:gridCol w:w="4680"/>
      </w:tblGrid>
      <w:tr w:rsidR="00B96A78">
        <w:tc>
          <w:tcPr>
            <w:tcW w:w="4680" w:type="dxa"/>
            <w:shd w:val="pct20" w:color="auto" w:fill="auto"/>
          </w:tcPr>
          <w:p w:rsidR="00B96A78" w:rsidRPr="00B96A78" w:rsidRDefault="00B96A78" w:rsidP="00B96A78">
            <w:pPr>
              <w:jc w:val="center"/>
              <w:rPr>
                <w:rFonts w:ascii="Geneva" w:hAnsi="Geneva"/>
                <w:b/>
                <w:sz w:val="20"/>
              </w:rPr>
            </w:pPr>
            <w:r>
              <w:rPr>
                <w:rFonts w:ascii="Geneva" w:hAnsi="Geneva"/>
                <w:b/>
                <w:sz w:val="20"/>
              </w:rPr>
              <w:t>Source Excerpt</w:t>
            </w:r>
          </w:p>
        </w:tc>
        <w:tc>
          <w:tcPr>
            <w:tcW w:w="4680" w:type="dxa"/>
            <w:shd w:val="pct20" w:color="auto" w:fill="auto"/>
          </w:tcPr>
          <w:p w:rsidR="00B96A78" w:rsidRPr="00B96A78" w:rsidRDefault="00B96A78" w:rsidP="00B96A78">
            <w:pPr>
              <w:jc w:val="center"/>
              <w:rPr>
                <w:rFonts w:ascii="Geneva" w:hAnsi="Geneva"/>
                <w:b/>
                <w:sz w:val="20"/>
              </w:rPr>
            </w:pPr>
            <w:r>
              <w:rPr>
                <w:rFonts w:ascii="Geneva" w:hAnsi="Geneva"/>
                <w:b/>
                <w:sz w:val="20"/>
              </w:rPr>
              <w:t>Summarize in 2+ Sentences</w:t>
            </w:r>
          </w:p>
        </w:tc>
        <w:tc>
          <w:tcPr>
            <w:tcW w:w="4680" w:type="dxa"/>
            <w:shd w:val="pct20" w:color="auto" w:fill="auto"/>
          </w:tcPr>
          <w:p w:rsidR="00B96A78" w:rsidRPr="00B96A78" w:rsidRDefault="00535D19" w:rsidP="00535D19">
            <w:pPr>
              <w:jc w:val="center"/>
              <w:rPr>
                <w:rFonts w:ascii="Geneva" w:hAnsi="Geneva"/>
                <w:b/>
                <w:sz w:val="20"/>
              </w:rPr>
            </w:pPr>
            <w:r>
              <w:rPr>
                <w:rFonts w:ascii="Geneva" w:hAnsi="Geneva"/>
                <w:b/>
                <w:sz w:val="20"/>
              </w:rPr>
              <w:t>What does this tell you about trench warfare?</w:t>
            </w:r>
          </w:p>
        </w:tc>
      </w:tr>
      <w:tr w:rsidR="00535D19" w:rsidRPr="00A517AE">
        <w:tc>
          <w:tcPr>
            <w:tcW w:w="4680" w:type="dxa"/>
          </w:tcPr>
          <w:p w:rsidR="00535D19" w:rsidRPr="00535D19" w:rsidRDefault="00535D19" w:rsidP="00535D19">
            <w:pPr>
              <w:rPr>
                <w:rFonts w:ascii="Geneva" w:hAnsi="Geneva"/>
                <w:sz w:val="18"/>
                <w:szCs w:val="20"/>
              </w:rPr>
            </w:pPr>
            <w:r w:rsidRPr="00535D19">
              <w:rPr>
                <w:rFonts w:ascii="Geneva" w:hAnsi="Geneva"/>
                <w:sz w:val="18"/>
                <w:szCs w:val="20"/>
              </w:rPr>
              <w:t>“We slept in our clothes and cut our hair short so that it would tuck inside our caps. Dressing simply meant putting on our boots. There were times when we had to scrape the lice off with the blunt edge of a knife and</w:t>
            </w:r>
            <w:r>
              <w:rPr>
                <w:rFonts w:ascii="Geneva" w:hAnsi="Geneva"/>
                <w:sz w:val="18"/>
                <w:szCs w:val="20"/>
              </w:rPr>
              <w:t xml:space="preserve"> our underclothes stuck to us.</w:t>
            </w:r>
            <w:r w:rsidRPr="00535D19">
              <w:rPr>
                <w:rFonts w:ascii="Geneva" w:hAnsi="Geneva"/>
                <w:sz w:val="18"/>
                <w:szCs w:val="20"/>
              </w:rPr>
              <w:t xml:space="preserve">“  </w:t>
            </w:r>
          </w:p>
          <w:p w:rsidR="00535D19" w:rsidRPr="00535D19" w:rsidRDefault="00535D19" w:rsidP="00535D19">
            <w:pPr>
              <w:spacing w:beforeLines="1" w:afterLines="1"/>
              <w:rPr>
                <w:rFonts w:ascii="Geneva" w:hAnsi="Geneva" w:cs="Times New Roman"/>
                <w:sz w:val="18"/>
                <w:szCs w:val="20"/>
              </w:rPr>
            </w:pPr>
            <w:r w:rsidRPr="00535D19">
              <w:rPr>
                <w:rFonts w:ascii="Geneva" w:hAnsi="Geneva" w:cs="Times New Roman"/>
                <w:sz w:val="18"/>
                <w:szCs w:val="20"/>
              </w:rPr>
              <w:t xml:space="preserve">(Elizabeth de </w:t>
            </w:r>
            <w:proofErr w:type="spellStart"/>
            <w:r w:rsidRPr="00535D19">
              <w:rPr>
                <w:rFonts w:ascii="Geneva" w:hAnsi="Geneva" w:cs="Times New Roman"/>
                <w:sz w:val="18"/>
                <w:szCs w:val="20"/>
              </w:rPr>
              <w:t>T’Serclaes</w:t>
            </w:r>
            <w:proofErr w:type="spellEnd"/>
            <w:r w:rsidRPr="00535D19">
              <w:rPr>
                <w:rFonts w:ascii="Geneva" w:hAnsi="Geneva" w:cs="Times New Roman"/>
                <w:sz w:val="18"/>
                <w:szCs w:val="20"/>
              </w:rPr>
              <w:t xml:space="preserve"> – a nurse on the front line)</w:t>
            </w:r>
          </w:p>
          <w:p w:rsidR="00535D19" w:rsidRPr="00535D19" w:rsidRDefault="00535D19" w:rsidP="00535D19">
            <w:pPr>
              <w:spacing w:beforeLines="1" w:afterLines="1"/>
              <w:rPr>
                <w:rFonts w:ascii="Geneva" w:hAnsi="Geneva"/>
                <w:sz w:val="18"/>
              </w:rPr>
            </w:pPr>
          </w:p>
        </w:tc>
        <w:tc>
          <w:tcPr>
            <w:tcW w:w="4680" w:type="dxa"/>
          </w:tcPr>
          <w:p w:rsidR="00535D19" w:rsidRPr="00A517AE" w:rsidRDefault="00535D19" w:rsidP="00B96A78">
            <w:pPr>
              <w:rPr>
                <w:rFonts w:ascii="Geneva" w:hAnsi="Geneva"/>
                <w:sz w:val="18"/>
              </w:rPr>
            </w:pPr>
          </w:p>
        </w:tc>
        <w:tc>
          <w:tcPr>
            <w:tcW w:w="4680" w:type="dxa"/>
          </w:tcPr>
          <w:p w:rsidR="00535D19" w:rsidRPr="00A517AE" w:rsidRDefault="00535D19" w:rsidP="00B96A78">
            <w:pPr>
              <w:rPr>
                <w:rFonts w:ascii="Geneva" w:hAnsi="Geneva"/>
                <w:sz w:val="18"/>
              </w:rPr>
            </w:pPr>
          </w:p>
        </w:tc>
      </w:tr>
      <w:tr w:rsidR="00535D19" w:rsidRPr="00A517AE">
        <w:tc>
          <w:tcPr>
            <w:tcW w:w="4680" w:type="dxa"/>
          </w:tcPr>
          <w:p w:rsidR="00535D19" w:rsidRPr="00535D19" w:rsidRDefault="00535D19" w:rsidP="00B96A78">
            <w:pPr>
              <w:rPr>
                <w:rFonts w:ascii="Geneva" w:hAnsi="Geneva"/>
                <w:sz w:val="18"/>
              </w:rPr>
            </w:pPr>
          </w:p>
          <w:p w:rsidR="00535D19" w:rsidRPr="00535D19" w:rsidRDefault="00535D19" w:rsidP="00535D19">
            <w:pPr>
              <w:rPr>
                <w:rFonts w:ascii="Geneva" w:hAnsi="Geneva"/>
                <w:sz w:val="18"/>
                <w:szCs w:val="20"/>
              </w:rPr>
            </w:pPr>
            <w:r w:rsidRPr="00535D19">
              <w:rPr>
                <w:rFonts w:ascii="Geneva" w:hAnsi="Geneva"/>
                <w:sz w:val="18"/>
                <w:szCs w:val="20"/>
              </w:rPr>
              <w:t xml:space="preserve">“The water in the trenches through which we waded was alive with a multitude of swimming frogs. Red slugs crawled up the side of the trenches and strange beetles with dangerous looking horns wriggled along dry ledges and invaded the dugouts, in search of the lice that infested them.”   </w:t>
            </w:r>
          </w:p>
          <w:p w:rsidR="00535D19" w:rsidRPr="00535D19" w:rsidRDefault="00535D19" w:rsidP="00535D19">
            <w:pPr>
              <w:spacing w:beforeLines="1" w:afterLines="1"/>
              <w:rPr>
                <w:rFonts w:ascii="Geneva" w:hAnsi="Geneva" w:cs="Times New Roman"/>
                <w:sz w:val="18"/>
                <w:szCs w:val="20"/>
              </w:rPr>
            </w:pPr>
            <w:r w:rsidRPr="00535D19">
              <w:rPr>
                <w:rFonts w:ascii="Geneva" w:hAnsi="Geneva" w:cs="Times New Roman"/>
                <w:sz w:val="18"/>
                <w:szCs w:val="20"/>
              </w:rPr>
              <w:t>(</w:t>
            </w:r>
            <w:proofErr w:type="gramStart"/>
            <w:r w:rsidRPr="00535D19">
              <w:rPr>
                <w:rFonts w:ascii="Geneva" w:hAnsi="Geneva" w:cs="Times New Roman"/>
                <w:sz w:val="18"/>
                <w:szCs w:val="20"/>
              </w:rPr>
              <w:t>unknown</w:t>
            </w:r>
            <w:proofErr w:type="gramEnd"/>
            <w:r w:rsidRPr="00535D19">
              <w:rPr>
                <w:rFonts w:ascii="Geneva" w:hAnsi="Geneva" w:cs="Times New Roman"/>
                <w:sz w:val="18"/>
                <w:szCs w:val="20"/>
              </w:rPr>
              <w:t xml:space="preserve"> journalist)</w:t>
            </w:r>
          </w:p>
          <w:p w:rsidR="00535D19" w:rsidRPr="00535D19" w:rsidRDefault="00535D19" w:rsidP="00E206BB">
            <w:pPr>
              <w:rPr>
                <w:rFonts w:ascii="Geneva" w:hAnsi="Geneva"/>
                <w:sz w:val="18"/>
              </w:rPr>
            </w:pPr>
          </w:p>
        </w:tc>
        <w:tc>
          <w:tcPr>
            <w:tcW w:w="4680" w:type="dxa"/>
          </w:tcPr>
          <w:p w:rsidR="00535D19" w:rsidRPr="00A517AE" w:rsidRDefault="00535D19" w:rsidP="00B96A78">
            <w:pPr>
              <w:rPr>
                <w:rFonts w:ascii="Geneva" w:hAnsi="Geneva"/>
                <w:sz w:val="18"/>
              </w:rPr>
            </w:pPr>
          </w:p>
        </w:tc>
        <w:tc>
          <w:tcPr>
            <w:tcW w:w="4680" w:type="dxa"/>
          </w:tcPr>
          <w:p w:rsidR="00535D19" w:rsidRPr="00A517AE" w:rsidRDefault="00535D19" w:rsidP="00B96A78">
            <w:pPr>
              <w:rPr>
                <w:rFonts w:ascii="Geneva" w:hAnsi="Geneva"/>
                <w:sz w:val="18"/>
              </w:rPr>
            </w:pPr>
          </w:p>
        </w:tc>
      </w:tr>
      <w:tr w:rsidR="00535D19" w:rsidRPr="00A517AE">
        <w:tc>
          <w:tcPr>
            <w:tcW w:w="4680" w:type="dxa"/>
          </w:tcPr>
          <w:p w:rsidR="00535D19" w:rsidRPr="00535D19" w:rsidRDefault="00535D19" w:rsidP="00535D19">
            <w:pPr>
              <w:rPr>
                <w:rFonts w:ascii="Geneva" w:hAnsi="Geneva"/>
                <w:sz w:val="18"/>
                <w:szCs w:val="20"/>
              </w:rPr>
            </w:pPr>
            <w:r w:rsidRPr="00535D19">
              <w:rPr>
                <w:rFonts w:ascii="Geneva" w:hAnsi="Geneva"/>
                <w:sz w:val="18"/>
                <w:szCs w:val="20"/>
              </w:rPr>
              <w:t xml:space="preserve">“If you have never had trench foot described to you, I will explain. Your feet swell to two to three times their normal size and go completely dead. You can stick a bayonet into them and not feel a thing. If you are lucky enough not to lose your feet and the swelling starts to go down, it is then that the most indescribable agony begins. I have heard men cry and scream with pain and many have had to have their feet and legs amputated. I was one of the lucky ones, but one more day in that trench and it may have been too late.”  </w:t>
            </w:r>
          </w:p>
          <w:p w:rsidR="00535D19" w:rsidRPr="00535D19" w:rsidRDefault="00535D19" w:rsidP="00535D19">
            <w:pPr>
              <w:spacing w:beforeLines="1" w:afterLines="1"/>
              <w:rPr>
                <w:rFonts w:ascii="Geneva" w:hAnsi="Geneva" w:cs="Times New Roman"/>
                <w:sz w:val="18"/>
                <w:szCs w:val="20"/>
              </w:rPr>
            </w:pPr>
            <w:r w:rsidRPr="00535D19">
              <w:rPr>
                <w:rFonts w:ascii="Geneva" w:hAnsi="Geneva" w:cs="Times New Roman"/>
                <w:sz w:val="18"/>
                <w:szCs w:val="20"/>
              </w:rPr>
              <w:t>(Harry Roberts)</w:t>
            </w:r>
          </w:p>
          <w:p w:rsidR="00535D19" w:rsidRPr="00535D19" w:rsidRDefault="00535D19" w:rsidP="00B96A78">
            <w:pPr>
              <w:rPr>
                <w:rFonts w:ascii="Geneva" w:hAnsi="Geneva"/>
                <w:sz w:val="18"/>
              </w:rPr>
            </w:pPr>
          </w:p>
        </w:tc>
        <w:tc>
          <w:tcPr>
            <w:tcW w:w="4680" w:type="dxa"/>
          </w:tcPr>
          <w:p w:rsidR="00535D19" w:rsidRPr="00A517AE" w:rsidRDefault="00535D19" w:rsidP="00B96A78">
            <w:pPr>
              <w:rPr>
                <w:rFonts w:ascii="Geneva" w:hAnsi="Geneva"/>
                <w:sz w:val="18"/>
              </w:rPr>
            </w:pPr>
          </w:p>
        </w:tc>
        <w:tc>
          <w:tcPr>
            <w:tcW w:w="4680" w:type="dxa"/>
          </w:tcPr>
          <w:p w:rsidR="00535D19" w:rsidRPr="00A517AE" w:rsidRDefault="00535D19" w:rsidP="00B96A78">
            <w:pPr>
              <w:rPr>
                <w:rFonts w:ascii="Geneva" w:hAnsi="Geneva"/>
                <w:sz w:val="18"/>
              </w:rPr>
            </w:pPr>
          </w:p>
        </w:tc>
      </w:tr>
      <w:tr w:rsidR="00535D19" w:rsidRPr="00A517AE">
        <w:tc>
          <w:tcPr>
            <w:tcW w:w="4680" w:type="dxa"/>
          </w:tcPr>
          <w:p w:rsidR="00535D19" w:rsidRPr="00535D19" w:rsidRDefault="00535D19" w:rsidP="00535D19">
            <w:pPr>
              <w:rPr>
                <w:rFonts w:ascii="Geneva" w:hAnsi="Geneva"/>
                <w:sz w:val="18"/>
                <w:szCs w:val="20"/>
              </w:rPr>
            </w:pPr>
            <w:r w:rsidRPr="00535D19">
              <w:rPr>
                <w:rFonts w:ascii="Geneva" w:hAnsi="Geneva"/>
                <w:sz w:val="18"/>
                <w:szCs w:val="20"/>
              </w:rPr>
              <w:t xml:space="preserve">“Whilst asleep during the night, we were frequently awakened by rats running over us. When this happened too often for my liking, I would lie on my back and wait for a rat to linger on my legs; then violently heave my legs upwards, throwing the rat into the air. Occasionally, I would hear a grunt when the rat landed on a fellow victim.”  </w:t>
            </w:r>
          </w:p>
          <w:p w:rsidR="00535D19" w:rsidRPr="00535D19" w:rsidRDefault="00535D19" w:rsidP="00535D19">
            <w:pPr>
              <w:spacing w:beforeLines="1" w:afterLines="1"/>
              <w:rPr>
                <w:rFonts w:ascii="Geneva" w:hAnsi="Geneva" w:cs="Times New Roman"/>
                <w:sz w:val="18"/>
                <w:szCs w:val="20"/>
              </w:rPr>
            </w:pPr>
            <w:r w:rsidRPr="00535D19">
              <w:rPr>
                <w:rFonts w:ascii="Geneva" w:hAnsi="Geneva" w:cs="Times New Roman"/>
                <w:sz w:val="18"/>
                <w:szCs w:val="20"/>
              </w:rPr>
              <w:t xml:space="preserve">(R L </w:t>
            </w:r>
            <w:proofErr w:type="spellStart"/>
            <w:r w:rsidRPr="00535D19">
              <w:rPr>
                <w:rFonts w:ascii="Geneva" w:hAnsi="Geneva" w:cs="Times New Roman"/>
                <w:sz w:val="18"/>
                <w:szCs w:val="20"/>
              </w:rPr>
              <w:t>Venables</w:t>
            </w:r>
            <w:proofErr w:type="spellEnd"/>
            <w:r w:rsidRPr="00535D19">
              <w:rPr>
                <w:rFonts w:ascii="Geneva" w:hAnsi="Geneva" w:cs="Times New Roman"/>
                <w:sz w:val="18"/>
                <w:szCs w:val="20"/>
              </w:rPr>
              <w:t>)</w:t>
            </w:r>
          </w:p>
        </w:tc>
        <w:tc>
          <w:tcPr>
            <w:tcW w:w="4680" w:type="dxa"/>
          </w:tcPr>
          <w:p w:rsidR="00535D19" w:rsidRPr="00A517AE" w:rsidRDefault="00535D19" w:rsidP="00B96A78">
            <w:pPr>
              <w:rPr>
                <w:rFonts w:ascii="Geneva" w:hAnsi="Geneva"/>
                <w:sz w:val="18"/>
              </w:rPr>
            </w:pPr>
          </w:p>
        </w:tc>
        <w:tc>
          <w:tcPr>
            <w:tcW w:w="4680" w:type="dxa"/>
          </w:tcPr>
          <w:p w:rsidR="00535D19" w:rsidRPr="00A517AE" w:rsidRDefault="00535D19" w:rsidP="00B96A78">
            <w:pPr>
              <w:rPr>
                <w:rFonts w:ascii="Geneva" w:hAnsi="Geneva"/>
                <w:sz w:val="18"/>
              </w:rPr>
            </w:pPr>
          </w:p>
        </w:tc>
      </w:tr>
    </w:tbl>
    <w:p w:rsidR="00B96A78" w:rsidRPr="00A517AE" w:rsidRDefault="00B96A78" w:rsidP="00B96A78">
      <w:pPr>
        <w:rPr>
          <w:rFonts w:ascii="Geneva" w:hAnsi="Geneva"/>
          <w:sz w:val="18"/>
        </w:rPr>
      </w:pPr>
    </w:p>
    <w:sectPr w:rsidR="00B96A78" w:rsidRPr="00A517AE" w:rsidSect="00B96A78">
      <w:pgSz w:w="15840" w:h="12240" w:orient="landscape"/>
      <w:pgMar w:top="1008" w:right="1008" w:bottom="1008" w:left="1008"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96A78"/>
    <w:rsid w:val="003D3907"/>
    <w:rsid w:val="00535D19"/>
    <w:rsid w:val="007C764F"/>
    <w:rsid w:val="008A66AD"/>
    <w:rsid w:val="00A517AE"/>
    <w:rsid w:val="00B96A78"/>
    <w:rsid w:val="00C65847"/>
    <w:rsid w:val="00E206BB"/>
  </w:rsids>
  <m:mathPr>
    <m:mathFont m:val="Webding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41C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B96A7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rsid w:val="00535D19"/>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443</Words>
  <Characters>2529</Characters>
  <Application>Microsoft Macintosh Word</Application>
  <DocSecurity>0</DocSecurity>
  <Lines>21</Lines>
  <Paragraphs>5</Paragraphs>
  <ScaleCrop>false</ScaleCrop>
  <LinksUpToDate>false</LinksUpToDate>
  <CharactersWithSpaces>3105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Hulme</dc:creator>
  <cp:keywords/>
  <cp:lastModifiedBy>Amanda Hulme</cp:lastModifiedBy>
  <cp:revision>2</cp:revision>
  <cp:lastPrinted>2011-02-09T17:03:00Z</cp:lastPrinted>
  <dcterms:created xsi:type="dcterms:W3CDTF">2011-03-08T16:19:00Z</dcterms:created>
  <dcterms:modified xsi:type="dcterms:W3CDTF">2011-03-08T16:19:00Z</dcterms:modified>
</cp:coreProperties>
</file>